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pPr>
      <w:r w:rsidDel="00000000" w:rsidR="00000000" w:rsidRPr="00000000">
        <w:rPr>
          <w:rtl w:val="0"/>
        </w:rPr>
      </w:r>
    </w:p>
    <w:p w:rsidR="00000000" w:rsidDel="00000000" w:rsidP="00000000" w:rsidRDefault="00000000" w:rsidRPr="00000000" w14:paraId="00000002">
      <w:pPr>
        <w:spacing w:after="94" w:line="240" w:lineRule="auto"/>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Ответ на обращение члена правления СНТ «Колющенец» Бурлака О.И.</w:t>
      </w:r>
    </w:p>
    <w:p w:rsidR="00000000" w:rsidDel="00000000" w:rsidP="00000000" w:rsidRDefault="00000000" w:rsidRPr="00000000" w14:paraId="00000003">
      <w:pPr>
        <w:spacing w:after="94" w:line="240" w:lineRule="auto"/>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В ОАО «МРСК Урала»</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Уважаемый Олег Викторович!</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ответ на Ваше обращение от 12.11.2018, поступившее в интернет-приёмную ОАО «МРСК Урала», по вопросу централизованного перехода всех собственников садовых участков СНТ «Колющенец» на прямые договоры с ОАО «МРСК Урала», сообщаем следующее.</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ОАО «МРСК Урала», осуществляя функции гарантирующего поставщика электроэнергии (мощности) на розничном рынке электрической энергии по Челябинской области, руководствуется в своей деятельности действующим законодательством Российской Федерации, в том числе нормативными актами, установленными в сфере электроэнергетики. Заключение договоров энергоснабжения с потребителями, в том числе для поставки электрической энергии на садовые участки, расположенные на территории СНТ,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(далее – Основные положения), которыми определены в том числе существенные условия договора энергоснабжения, порядок осуществления расчетов за электрическую энергию (мощность). Согласно п. 34 Основных положений потребителям, желающим заключить договоры энергоснабжения с ОАО «МРСК Урала» необходимо предоставить следующие документы:</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копия паспорта гражданина Российской Федерации или иного документа, удостоверяющего личность;</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документы о допуске в эксплуатацию приборов учета;</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 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заявителя.</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подтверждающих технологическое присоединение энергопринимающих устройств заявителя,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 Кроме того, до заключения договора энергоснабжения непосредственно с энергоснабжающей организацией заявителю необходимо обеспечить наличие  фактического технологического присоединения садового (дачного) дома к электрическим сетям, отвечающего требованиям п. 25(2) Правил недискриминационного доступа к услугам по передачи электрической энергии, утвержденных Постановлением Правительства Российской Федерации от 24.12.2004 № 861, а именно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СНТ должна предусматриваться возможность введения ограничения режима потребления заявителя при обеспечении поставки электрической энергии другим потребителям без ограничения режима их потребления.</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Вышеуказанные документы предоставляются в Службу по работе с населением Челябинского отделения Отделения «Челябэнергосбыт» филиала ОАО «МРСК Урала» - «Челябэнерго» по адресу: г. Челябинск, ул. Воровского, 15 А, каб. 3 А (режим работы: пн-чт с 8-00 до 17-00, пт с 8-00 до 16-00, обед с 12-00 до 12-48, телефон: </w:t>
      </w:r>
      <w:r w:rsidDel="00000000" w:rsidR="00000000" w:rsidRPr="00000000">
        <w:rPr>
          <w:rFonts w:ascii="Arial" w:cs="Arial" w:eastAsia="Arial" w:hAnsi="Arial"/>
          <w:b w:val="0"/>
          <w:i w:val="0"/>
          <w:smallCaps w:val="0"/>
          <w:strike w:val="0"/>
          <w:color w:val="005bd1"/>
          <w:sz w:val="28"/>
          <w:szCs w:val="28"/>
          <w:u w:val="none"/>
          <w:shd w:fill="auto" w:val="clear"/>
          <w:vertAlign w:val="baseline"/>
          <w:rtl w:val="0"/>
        </w:rPr>
        <w:t xml:space="preserve">8(351) 211-19-46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Информация по вопросам энергосбытовой деятельности гарантирующего поставщика филиала ОАО «МРСК Урала» - «Челябэнерго» размещена на официальном сайте Общества в сети «Интернет» (</w:t>
      </w:r>
      <w:hyperlink r:id="rId6">
        <w:r w:rsidDel="00000000" w:rsidR="00000000" w:rsidRPr="00000000">
          <w:rPr>
            <w:rFonts w:ascii="Arial" w:cs="Arial" w:eastAsia="Arial" w:hAnsi="Arial"/>
            <w:b w:val="0"/>
            <w:i w:val="0"/>
            <w:smallCaps w:val="0"/>
            <w:strike w:val="0"/>
            <w:color w:val="005bd1"/>
            <w:sz w:val="28"/>
            <w:szCs w:val="28"/>
            <w:u w:val="single"/>
            <w:shd w:fill="auto" w:val="clear"/>
            <w:vertAlign w:val="baseline"/>
            <w:rtl w:val="0"/>
          </w:rPr>
          <w:t xml:space="preserve">https://www.mrsk-ural.ru</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Учитывая значительное количество потребителей, находящихся на обслуживании в ОАО «МРСК Урала», а также общедоступность вышеуказанной информации, участие представителей Общества в проведении официальной встречи с целью консультации по вопросам заключения договоров энергоснабжения владельцев садовых участков с филиалом ОАО «МРСК Урала» - «Челябэнерго»   не требуется.</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Дополнительно сообщаем, что по вопросам договорных отношений с ОАО «МРСК Урала» Вы, также можете обращаться к специалистам Общества по вышеуказанному адресу Челябинского отделения.</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Также сообщаем Вам о дополнительных каналах коммуникаций:</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Телефонный центр поддержки клиентов </w:t>
      </w:r>
      <w:r w:rsidDel="00000000" w:rsidR="00000000" w:rsidRPr="00000000">
        <w:rPr>
          <w:rFonts w:ascii="Arial" w:cs="Arial" w:eastAsia="Arial" w:hAnsi="Arial"/>
          <w:b w:val="0"/>
          <w:i w:val="0"/>
          <w:smallCaps w:val="0"/>
          <w:strike w:val="0"/>
          <w:color w:val="005bd1"/>
          <w:sz w:val="28"/>
          <w:szCs w:val="28"/>
          <w:u w:val="none"/>
          <w:shd w:fill="auto" w:val="clear"/>
          <w:vertAlign w:val="baseline"/>
          <w:rtl w:val="0"/>
        </w:rPr>
        <w:t xml:space="preserve">8-800-2501-220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круглосуточно и бесплатно.</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Официальный сайт компании </w:t>
      </w:r>
      <w:hyperlink r:id="rId7">
        <w:r w:rsidDel="00000000" w:rsidR="00000000" w:rsidRPr="00000000">
          <w:rPr>
            <w:rFonts w:ascii="Arial" w:cs="Arial" w:eastAsia="Arial" w:hAnsi="Arial"/>
            <w:b w:val="0"/>
            <w:i w:val="0"/>
            <w:smallCaps w:val="0"/>
            <w:strike w:val="0"/>
            <w:color w:val="005bd1"/>
            <w:sz w:val="28"/>
            <w:szCs w:val="28"/>
            <w:u w:val="single"/>
            <w:shd w:fill="auto" w:val="clear"/>
            <w:vertAlign w:val="baseline"/>
            <w:rtl w:val="0"/>
          </w:rPr>
          <w:t xml:space="preserve">www.mrsk-ural.ru</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Интернет-приемная, онлайн-чат.</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Мессенджер: WhatsАpp +7-912-2901-220».</w:t>
      </w:r>
      <w:r w:rsidDel="00000000" w:rsidR="00000000" w:rsidRPr="00000000">
        <w:rPr>
          <w:rtl w:val="0"/>
        </w:rPr>
      </w:r>
    </w:p>
    <w:p w:rsidR="00000000" w:rsidDel="00000000" w:rsidP="00000000" w:rsidRDefault="00000000" w:rsidRPr="00000000" w14:paraId="00000016">
      <w:pPr>
        <w:rPr>
          <w:rFonts w:ascii="Calibri" w:cs="Calibri" w:eastAsia="Calibri" w:hAnsi="Calibri"/>
          <w:i w:val="1"/>
          <w:color w:val="000000"/>
          <w:highlight w:val="white"/>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Calibri" w:cs="Calibri" w:eastAsia="Calibri" w:hAnsi="Calibri"/>
          <w:i w:val="1"/>
          <w:color w:val="000000"/>
          <w:highlight w:val="white"/>
          <w:rtl w:val="0"/>
        </w:rPr>
        <w:t xml:space="preserve">С уважением к Вам ОАО «МРСК Урала».</w:t>
      </w: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rPr>
      </w:pPr>
      <w:r w:rsidDel="00000000" w:rsidR="00000000" w:rsidRPr="00000000">
        <w:rPr>
          <w:rtl w:val="0"/>
        </w:rPr>
      </w:r>
    </w:p>
    <w:sectPr>
      <w:footerReference r:id="rId8" w:type="default"/>
      <w:pgSz w:h="16838" w:w="11906"/>
      <w:pgMar w:bottom="426" w:top="426" w:left="1560"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rsk-ural.ru/" TargetMode="External"/><Relationship Id="rId7" Type="http://schemas.openxmlformats.org/officeDocument/2006/relationships/hyperlink" Target="http://www.mrsk-ural.r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