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A К Т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ревизии финансово-хозяйственной деятельности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СНТ « Колющенец» за 2017 г.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Челябинск                                                                                 07.01.2018 г.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Ревизионная комиссия, избранная общим собранием уполномоченных 11.03.2017 г. в составе:   Бондаренко И.А. – председатель комиссии, Онищенко В.А. – член комиссии,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Давыдовой К.Ю. – член комиссии, провела ревизию финансово-хозяйственной деятельности СНТ «Колющенец» за 2017 г.</w:t>
      </w:r>
    </w:p>
    <w:p w:rsidR="00000000" w:rsidDel="00000000" w:rsidP="00000000" w:rsidRDefault="00000000" w:rsidRPr="00000000" w14:paraId="0000000D">
      <w:pPr>
        <w:jc w:val="both"/>
        <w:rPr>
          <w:color w:val="00b0f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Проверка проводилась выборочным методом.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Полностью проверены первичные документы  следующих счетов 51 «Расчетный счет», 50 «Касса», 70 «Расчеты с персоналом по оплате труда» , 71 «Расчеты с подотчетными лицами».  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Ревизия   начата 16.12.2017 г.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окончена   07.01.2018 г.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За период январь-март право первой подписи имела председатель правления СНТ        Водянникова И.А.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За период апрель-декабрь право первой подписи имела председатель правления СНТ        Васильева М.Н..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Ведение бухгалтерского учета за период апрель-декабрь осуществляет главный бухгалтер</w:t>
      </w:r>
      <w:r w:rsidDel="00000000" w:rsidR="00000000" w:rsidRPr="00000000">
        <w:rPr>
          <w:color w:val="00b0f0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Кошман О.Г.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Банковские платёжные поручения имеют только одну подпись – «Председателя».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СНТ «Колющенец» имеет два расчетных счета в Челябинвестбанке.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 Учёт и отчетность.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  Годовая отчётность за 2017 г.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(оборотно - сальдовые ведомости, учетные регистры главной книги)</w:t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сформированы в электронном варианте.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480" w:hanging="4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Первичная документация сброшюрована в целом за год.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480" w:hanging="4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Отчётность за месяц (квартал) не составляется.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Справочно учёт ведётся в системе 1С Бухгалтерия (версия 8.2). Программа заполнена не корректно. Многие отчеты не формируются, что привело к необходимости составлять отчеты в ручную. В части счета 76 учет членских, вступительных и целевых взносов собственников остатки аудиторской фирмой не представлены. Поэтому проводилась проверка платежей, разнесенных по лицевым карточкам собственников СНТ и оприходованных денежных средств в кассу за период с 2013 по  2016 гг. (Акт ревизионной проверки от 14.11.2017 г.)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480" w:hanging="4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Приказ по учётной политике на 2017 г. ревизионной комиссии представлен.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480" w:hanging="4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СНТ ведёт учет по упрощенной системе налогообложения. Книга доходов и расходов на момент проведения ревизии, представлена в электронном виде. </w:t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1.7. Выборочной проверкой установлено, что бухгалтерские операции отражены в учете на основании первичных документов.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color w:val="00b0f0"/>
          <w:sz w:val="28"/>
          <w:szCs w:val="28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 Полностью проверены первичные документы  следующих счетов 51 «Расчетный счет», 50 «Касса», 70 «Расчеты с персоналом по оплате труда» , 71 «Расчеты с подотчетными лицами», налоговые декларации  и отчетность  за 2017 год.  </w:t>
      </w:r>
    </w:p>
    <w:tbl>
      <w:tblPr>
        <w:tblStyle w:val="Table1"/>
        <w:tblW w:w="10832.0" w:type="dxa"/>
        <w:jc w:val="left"/>
        <w:tblInd w:w="30.0" w:type="pct"/>
        <w:tblLayout w:type="fixed"/>
        <w:tblLook w:val="000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Проверено исполнение сметы доходов и расходов, финансово-экономическое обоснование расчета величины затрат включенных в стоимость годового членского взноса в пересчете на 1 сотку по СНТ «Колющенец» на 2018 год.  Рекомендовано активизировать работу с должниками, за счет полученных средств уменьшить </w:t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стоимость годового членского взноса  на 2018 год до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1300 руб. за сотку.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</w:t>
      </w:r>
      <w:r w:rsidDel="00000000" w:rsidR="00000000" w:rsidRPr="00000000">
        <w:rPr>
          <w:b w:val="1"/>
          <w:sz w:val="28"/>
          <w:szCs w:val="28"/>
          <w:rtl w:val="0"/>
        </w:rPr>
        <w:t xml:space="preserve">Учет денежных средств в кассе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2.1. На денежные средства, вносимые членами СНТ в кассу в виде членских и целевых взносов, выписываются приходно-кассовые ордера (ПКО).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По данным поступлениям ведётся единая нумерация ПКО.</w:t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2.1.1. В подтверждение принятых от членов СНТ денежных средств ему выдаётся квитанция ПКО  с приложением кассового чека.</w:t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2.1.2.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 целях обеспечения полноты учёта поступления денежных средств введено применение ККМ. </w:t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Ревизионной комиссией были проведены проверки кассы:</w:t>
      </w:r>
    </w:p>
    <w:p w:rsidR="00000000" w:rsidDel="00000000" w:rsidP="00000000" w:rsidRDefault="00000000" w:rsidRPr="00000000" w14:paraId="0000002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- акт от 16.09.2017 г.,</w:t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- акт от 14.10.2017 г.,</w:t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- акт от 16.12.2017 г.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результате проверок фактическое наличие денежных средств в кассе соответствовало учетным данным.</w:t>
      </w:r>
    </w:p>
    <w:p w:rsidR="00000000" w:rsidDel="00000000" w:rsidP="00000000" w:rsidRDefault="00000000" w:rsidRPr="00000000" w14:paraId="0000002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Расчеты с поставщиками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 Книги учета договоров нет. Работы по договорам подряда и поставщиками выполнены в полном объеме в соответствии с условиями договоров (представлены фотографии, снят видеоролик).</w:t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 Особое внимание РК обратила на расчеты с ПАО «Челябэнергосбыт».</w:t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 1 квартал 2017 г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оплачено 1 754 014,54     выставлен счет  1 735 416,88    собрано с собственников 116 953,00</w:t>
      </w:r>
    </w:p>
    <w:p w:rsidR="00000000" w:rsidDel="00000000" w:rsidP="00000000" w:rsidRDefault="00000000" w:rsidRPr="00000000" w14:paraId="000000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составляет 6,7% от выставленного счета.</w:t>
      </w:r>
    </w:p>
    <w:p w:rsidR="00000000" w:rsidDel="00000000" w:rsidP="00000000" w:rsidRDefault="00000000" w:rsidRPr="00000000" w14:paraId="00000036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-за 2-4 квартал 2017 г.</w:t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оплачено 4 233 033,88       выставлен счет  3 880 271,07     собрано с собственников 2 393 336,50</w:t>
      </w:r>
    </w:p>
    <w:p w:rsidR="00000000" w:rsidDel="00000000" w:rsidP="00000000" w:rsidRDefault="00000000" w:rsidRPr="00000000" w14:paraId="0000003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составляет 61,7% от выставленного счета.</w:t>
      </w:r>
    </w:p>
    <w:p w:rsidR="00000000" w:rsidDel="00000000" w:rsidP="00000000" w:rsidRDefault="00000000" w:rsidRPr="00000000" w14:paraId="00000039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-всего за 2017 г.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оплачено 5 987 048,42руб. выставлен счет  5 559 235,64руб. собрано с собственников 2 612 840,75руб.</w:t>
      </w:r>
    </w:p>
    <w:p w:rsidR="00000000" w:rsidDel="00000000" w:rsidP="00000000" w:rsidRDefault="00000000" w:rsidRPr="00000000" w14:paraId="0000003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составляет 47% от выставленного счета.</w:t>
      </w:r>
    </w:p>
    <w:p w:rsidR="00000000" w:rsidDel="00000000" w:rsidP="00000000" w:rsidRDefault="00000000" w:rsidRPr="00000000" w14:paraId="0000003C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 2016 г оплачено 4 368 821руб.  собрано с собственников 1 498 020руб., что составляет 34%. 66% потерь э\э – это нонсенс, необходимо задуматься, где эти потери.</w:t>
      </w:r>
    </w:p>
    <w:p w:rsidR="00000000" w:rsidDel="00000000" w:rsidP="00000000" w:rsidRDefault="00000000" w:rsidRPr="00000000" w14:paraId="0000003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  РК проверила договоры с поставщиками и установила, что на  оплаченные и выполненные работы имеется полный пакет документов. Договоры оформлялись в соответствии с нормами и требованиями (дата, номер, срок действия, наличие печати и банковских реквизитов, наличие смет, расчетов), также проверены фирмы и ИП, с которыми СНТ сотрудничало.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заработной платы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Трудового кодекса проверено наличие трудовых договоров и личных карточек всех сотрудников СНТ. Отсутствует личное дело и трудовой договор Антонова А.С., исполняющего обязанности энергетика, а также не приложены документы об образовании, документы на специальное разрешение и допуск к данным работам. Председателю выдано предписание о нарушении. Срок для исполнения -  10 дней.</w:t>
      </w:r>
    </w:p>
    <w:p w:rsidR="00000000" w:rsidDel="00000000" w:rsidP="00000000" w:rsidRDefault="00000000" w:rsidRPr="00000000" w14:paraId="0000004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начислялась и выплачивалась вовремя и в соответствии с трудовыми договорами и договорами подряда.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Следует заметить, что ФОТ по трудовым договорам за 2017 год составил          2036204,72 руб.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сметой предусмотрено  2 262 000 руб. Экономия составила 22579,28 руб.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договорам подряда ФОТ за 2017 года составил – 1 136 533,00 руб.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Сметой предусмотрено – 540 000 руб. Перерасход составил – 596533 руб.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Общегодовой  фонд оплаты труда составляет 3 418 163,24 выплачено полностью.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Заработная плата выплачивалась согласно штатного расписания.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 течении года имели место компенсационные выплаты при увольнении в сумме –  245425,52 руб.</w:t>
      </w:r>
    </w:p>
    <w:p w:rsidR="00000000" w:rsidDel="00000000" w:rsidP="00000000" w:rsidRDefault="00000000" w:rsidRPr="00000000" w14:paraId="0000004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Установлено, что работникам СНТ «Колющенец» Маркиной, Водянниковой и начальнику охраны по несколько лет не оформлялся очередной отпуск и не начислялись отпускные. Табеля учета рабочего времени председателям не подписывались, частично отсутствуют, больничные листы не оформлялись, заработная плата за время больничных листов начислялась полностью, что отражалось в актах РК за прошлые годы. Таким образом при увольнении эти работники потребовали выплату компенсации за неиспользованный отпуск за несколько лет. Общая сумма компенсации  составила 229 079,34 руб. </w:t>
      </w:r>
    </w:p>
    <w:p w:rsidR="00000000" w:rsidDel="00000000" w:rsidP="00000000" w:rsidRDefault="00000000" w:rsidRPr="00000000" w14:paraId="0000004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 комиссии                                                                Бондаренко И. А.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Члены комиссии                                                                           Онищенко В.А.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Давыдова К.Ю.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810"/>
          <w:tab w:val="center" w:pos="5102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3810"/>
          <w:tab w:val="center" w:pos="5102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810"/>
          <w:tab w:val="center" w:pos="5102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pos="3810"/>
          <w:tab w:val="center" w:pos="5102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810"/>
          <w:tab w:val="center" w:pos="5102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ПРЕДЛОЖЕНИЯ</w:t>
      </w:r>
    </w:p>
    <w:p w:rsidR="00000000" w:rsidDel="00000000" w:rsidP="00000000" w:rsidRDefault="00000000" w:rsidRPr="00000000" w14:paraId="00000057">
      <w:pPr>
        <w:tabs>
          <w:tab w:val="left" w:pos="3810"/>
          <w:tab w:val="center" w:pos="5102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810"/>
          <w:tab w:val="center" w:pos="5102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Сформировать на бумажных носителях годовой отчет за 2017г. (оборотно-сальдовые ведомости, учетные регистры главной книги)</w:t>
      </w:r>
    </w:p>
    <w:p w:rsidR="00000000" w:rsidDel="00000000" w:rsidP="00000000" w:rsidRDefault="00000000" w:rsidRPr="00000000" w14:paraId="0000005B">
      <w:pPr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- предоставить книгу расходов и доходов за 2017 г. на бумажных носителях.</w:t>
      </w:r>
    </w:p>
    <w:p w:rsidR="00000000" w:rsidDel="00000000" w:rsidP="00000000" w:rsidRDefault="00000000" w:rsidRPr="00000000" w14:paraId="0000005C">
      <w:pPr>
        <w:ind w:left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связи с отсутствием программного обеспечения приобрести специализированную бухгалтерскую программу учета разработанную под СНТ.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Принять решение на Правлении</w:t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 использованию прибыли  на покрытие расходов по содержанию СНТ</w:t>
      </w:r>
    </w:p>
    <w:p w:rsidR="00000000" w:rsidDel="00000000" w:rsidP="00000000" w:rsidRDefault="00000000" w:rsidRPr="00000000" w14:paraId="0000005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кассовой дисциплине. К первичным документам по кассе прилагать «Карточку счета за месяц»</w:t>
      </w:r>
    </w:p>
    <w:p w:rsidR="00000000" w:rsidDel="00000000" w:rsidP="00000000" w:rsidRDefault="00000000" w:rsidRPr="00000000" w14:paraId="0000006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-  активизировать работу по внесению членских и целевых взносов через Челябинвестбанк  -  дополнительно заключить с банком договор «эквайринга» для расчетов по взносам банковскими депозитными картами.</w:t>
      </w:r>
    </w:p>
    <w:p w:rsidR="00000000" w:rsidDel="00000000" w:rsidP="00000000" w:rsidRDefault="00000000" w:rsidRPr="00000000" w14:paraId="00000062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VI.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Лицевые карточки садоводов</w:t>
      </w:r>
    </w:p>
    <w:p w:rsidR="00000000" w:rsidDel="00000000" w:rsidP="00000000" w:rsidRDefault="00000000" w:rsidRPr="00000000" w14:paraId="0000006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Необходима компетентная оценка возможности получения итогов</w:t>
      </w:r>
    </w:p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 начислениям в целом по саду,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 поступлениям за месяц, с начала года.</w:t>
      </w:r>
    </w:p>
    <w:p w:rsidR="00000000" w:rsidDel="00000000" w:rsidP="00000000" w:rsidRDefault="00000000" w:rsidRPr="00000000" w14:paraId="0000006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Необходимо автоматизировать формирование итогов с начала года.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 Так как много лет не велся 76 счет «Расчеты с разными дебиторами и кредиторами», списание дебиторской задолженности в качестве безнадежного долга по которому истек установленный срок исковой давности производить  только по решению суда.    </w:t>
      </w:r>
    </w:p>
    <w:p w:rsidR="00000000" w:rsidDel="00000000" w:rsidP="00000000" w:rsidRDefault="00000000" w:rsidRPr="00000000" w14:paraId="0000006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Рекомендовано провести инвентаризацию ОС в  срок  до 28.03.2018 года и предоставить акт  РК.</w:t>
      </w:r>
    </w:p>
    <w:p w:rsidR="00000000" w:rsidDel="00000000" w:rsidP="00000000" w:rsidRDefault="00000000" w:rsidRPr="00000000" w14:paraId="0000006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 комиссии                                                               Бондаренко И.А.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Члены комиссии                                                                           Онищенко В.А.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Давыдова К.Ю.</w:t>
      </w:r>
    </w:p>
    <w:p w:rsidR="00000000" w:rsidDel="00000000" w:rsidP="00000000" w:rsidRDefault="00000000" w:rsidRPr="00000000" w14:paraId="0000007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1.%2."/>
      <w:lvlJc w:val="left"/>
      <w:pPr>
        <w:ind w:left="840" w:hanging="360"/>
      </w:pPr>
      <w:rPr/>
    </w:lvl>
    <w:lvl w:ilvl="2">
      <w:start w:val="1"/>
      <w:numFmt w:val="decimal"/>
      <w:lvlText w:val="%1.%2.%3."/>
      <w:lvlJc w:val="left"/>
      <w:pPr>
        <w:ind w:left="1200" w:hanging="720"/>
      </w:pPr>
      <w:rPr/>
    </w:lvl>
    <w:lvl w:ilvl="3">
      <w:start w:val="1"/>
      <w:numFmt w:val="decimal"/>
      <w:lvlText w:val="%1.%2.%3.%4."/>
      <w:lvlJc w:val="left"/>
      <w:pPr>
        <w:ind w:left="1200" w:hanging="720"/>
      </w:pPr>
      <w:rPr/>
    </w:lvl>
    <w:lvl w:ilvl="4">
      <w:start w:val="1"/>
      <w:numFmt w:val="decimal"/>
      <w:lvlText w:val="%1.%2.%3.%4.%5."/>
      <w:lvlJc w:val="left"/>
      <w:pPr>
        <w:ind w:left="1560" w:hanging="1080"/>
      </w:pPr>
      <w:rPr/>
    </w:lvl>
    <w:lvl w:ilvl="5">
      <w:start w:val="1"/>
      <w:numFmt w:val="decimal"/>
      <w:lvlText w:val="%1.%2.%3.%4.%5.%6."/>
      <w:lvlJc w:val="left"/>
      <w:pPr>
        <w:ind w:left="1560" w:hanging="1080"/>
      </w:pPr>
      <w:rPr/>
    </w:lvl>
    <w:lvl w:ilvl="6">
      <w:start w:val="1"/>
      <w:numFmt w:val="decimal"/>
      <w:lvlText w:val="%1.%2.%3.%4.%5.%6.%7."/>
      <w:lvlJc w:val="left"/>
      <w:pPr>
        <w:ind w:left="1920" w:hanging="1440"/>
      </w:pPr>
      <w:rPr/>
    </w:lvl>
    <w:lvl w:ilvl="7">
      <w:start w:val="1"/>
      <w:numFmt w:val="decimal"/>
      <w:lvlText w:val="%1.%2.%3.%4.%5.%6.%7.%8."/>
      <w:lvlJc w:val="left"/>
      <w:pPr>
        <w:ind w:left="1920" w:hanging="1440"/>
      </w:pPr>
      <w:rPr/>
    </w:lvl>
    <w:lvl w:ilvl="8">
      <w:start w:val="1"/>
      <w:numFmt w:val="decimal"/>
      <w:lvlText w:val="%1.%2.%3.%4.%5.%6.%7.%8.%9."/>
      <w:lvlJc w:val="left"/>
      <w:pPr>
        <w:ind w:left="2280" w:hanging="180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2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